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合肥学院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2022-2023学年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二级学院学生会工作年度考核指标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</w:rPr>
      </w:pPr>
      <w:r>
        <w:rPr>
          <w:rFonts w:hint="eastAsia" w:ascii="方正小标宋简体" w:eastAsia="方正小标宋简体"/>
          <w:color w:val="auto"/>
          <w:sz w:val="21"/>
          <w:szCs w:val="21"/>
          <w:lang w:eastAsia="zh-CN"/>
        </w:rPr>
        <w:t>（自评分</w:t>
      </w:r>
      <w:r>
        <w:rPr>
          <w:rFonts w:hint="eastAsia" w:ascii="方正小标宋简体" w:eastAsia="方正小标宋简体"/>
          <w:color w:val="auto"/>
          <w:sz w:val="21"/>
          <w:szCs w:val="21"/>
          <w:lang w:val="en-US" w:eastAsia="zh-CN"/>
        </w:rPr>
        <w:t>占比50%，校学生会评分占比50%</w:t>
      </w:r>
      <w:r>
        <w:rPr>
          <w:rFonts w:hint="eastAsia" w:ascii="方正小标宋简体" w:eastAsia="方正小标宋简体"/>
          <w:color w:val="auto"/>
          <w:sz w:val="21"/>
          <w:szCs w:val="21"/>
          <w:lang w:eastAsia="zh-CN"/>
        </w:rPr>
        <w:t>）</w:t>
      </w:r>
    </w:p>
    <w:tbl>
      <w:tblPr>
        <w:tblStyle w:val="3"/>
        <w:tblpPr w:leftFromText="180" w:rightFromText="180" w:vertAnchor="text" w:horzAnchor="page" w:tblpX="918" w:tblpY="4"/>
        <w:tblOverlap w:val="never"/>
        <w:tblW w:w="154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2191"/>
        <w:gridCol w:w="6223"/>
        <w:gridCol w:w="3047"/>
        <w:gridCol w:w="1329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12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一级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指标</w:t>
            </w:r>
          </w:p>
        </w:tc>
        <w:tc>
          <w:tcPr>
            <w:tcW w:w="21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二级指标</w:t>
            </w:r>
          </w:p>
        </w:tc>
        <w:tc>
          <w:tcPr>
            <w:tcW w:w="622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指标内涵</w:t>
            </w:r>
          </w:p>
        </w:tc>
        <w:tc>
          <w:tcPr>
            <w:tcW w:w="304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主要观测点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学院自评（100分）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校学生会打分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（100分）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atLeast"/>
        </w:trPr>
        <w:tc>
          <w:tcPr>
            <w:tcW w:w="1128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1.组织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架构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（20分）</w:t>
            </w:r>
          </w:p>
        </w:tc>
        <w:tc>
          <w:tcPr>
            <w:tcW w:w="21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1.1机构和人员设置（6分）</w:t>
            </w:r>
          </w:p>
        </w:tc>
        <w:tc>
          <w:tcPr>
            <w:tcW w:w="6223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组织机构精简，工作机构架构为“主席团+工作部门”模式，未在工作部门以上或以下设置“中心”、“项目办公室”等常设层级。工作人员不超过30人。主席团成员不超过3人。除主席、副主席（轮值执行主席）、部长、副部长、干事外未设其他职务。学生会组织工作机构应成立团支部，团支部书记由学生会主席团成员担任。</w:t>
            </w:r>
          </w:p>
        </w:tc>
        <w:tc>
          <w:tcPr>
            <w:tcW w:w="30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组织结构框图、部门工作职能介绍、换届通知、公示、任命文件及相关佐证图片（报道截图）等 。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128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1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1.2工作开展情况（6分）</w:t>
            </w:r>
          </w:p>
        </w:tc>
        <w:tc>
          <w:tcPr>
            <w:tcW w:w="6223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坚持全心全意服务同学,聚焦主责主业开展工作。未承担宿舍管理、校园文明纠察、安全保卫等高校行政职能。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发挥贴近同学、覆盖广泛的组织优势，当好党联系青年学生的桥梁和纽带，健全线上线下密切联系同学机制，常态化了解并反映同学思想动态、普遍需求、突出困难，做好同学在学业、就业、创业等方面普遍关心的政策宣讲和具体服务。严格落实学生会重大事项向党委请示报告制度。</w:t>
            </w:r>
          </w:p>
        </w:tc>
        <w:tc>
          <w:tcPr>
            <w:tcW w:w="3047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相关工作总结、佐证图片（报道截图）等 。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9" w:hRule="atLeast"/>
        </w:trPr>
        <w:tc>
          <w:tcPr>
            <w:tcW w:w="1128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1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1.3工作人员选拔要求（8分）</w:t>
            </w:r>
          </w:p>
        </w:tc>
        <w:tc>
          <w:tcPr>
            <w:tcW w:w="6223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工作人员为中共党员或共青团员。学生会工作人员选拔规范，公平公正公开，人员符合遴选条件。开展述职评议，组建由学院学生代表为主，院党委和团委共同参与的评议组。每学期从政治态度、道德品行、学习情况、工作成效、纪律作风等方面进行全面客观的综合评价。学生会组织工作人员中除一年级新生外的本专科生最近1个学期/最近1学年/入学以来三者取其一 ,学习成绩综合排名在本专业前30%以内,且无课业不及格情况。</w:t>
            </w:r>
          </w:p>
        </w:tc>
        <w:tc>
          <w:tcPr>
            <w:tcW w:w="3047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工作人员选拔、述职评议制度文件，评议会人员组成名单，工作人员学习成绩、排名，培训计划，述职评议结果，相关佐证图片（报道截图）等 。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128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工作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成效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70分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1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2.1学生代表大会召开情况（15分）</w:t>
            </w:r>
          </w:p>
        </w:tc>
        <w:tc>
          <w:tcPr>
            <w:tcW w:w="622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学生会有选拔、培养、考评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述职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机制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按期规范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召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开学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代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304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学代会资料是否齐全、流程是否正确。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</w:trPr>
        <w:tc>
          <w:tcPr>
            <w:tcW w:w="1128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2.2队伍建设（15分）</w:t>
            </w:r>
          </w:p>
        </w:tc>
        <w:tc>
          <w:tcPr>
            <w:tcW w:w="62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学生会团支部每学期至少组织开展2次政治理论学习。建立常态化骨干培训培训制度，以政治理论学习为重点，突出服务同学宗旨教育和纪律作风教育，每年春、秋季开学分别开展1期培训。</w:t>
            </w:r>
          </w:p>
        </w:tc>
        <w:tc>
          <w:tcPr>
            <w:tcW w:w="304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有活动计划，工作总结、图片、新闻稿件等资料。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1128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2.3思想引领（10分）</w:t>
            </w:r>
          </w:p>
        </w:tc>
        <w:tc>
          <w:tcPr>
            <w:tcW w:w="62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以习近平新时代中国特色社会主义思想为指导，加强对同学的政治引领为根本，以全心全意服务同学为宗旨，引领青年学生深刻领悟“两个确立”的决定性意义，不断增强“四个意识”、坚定“四个自信”、做到“两个维护”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积极组织学生参与榜样学子、主题团日活动、校院两级青马工程培训班、“一二·九”辩论赛等活动。</w:t>
            </w:r>
          </w:p>
        </w:tc>
        <w:tc>
          <w:tcPr>
            <w:tcW w:w="304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相关活动的总结、新闻稿、照片等材料。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128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2.4校园文化艺术活动（10分）</w:t>
            </w:r>
          </w:p>
        </w:tc>
        <w:tc>
          <w:tcPr>
            <w:tcW w:w="62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在校园文化艺术节、社团文化节中积极打造学院特色活动，申报校级活动立项。积极组织学生参与学生物品交换市场暨毕业生物品义卖活动、绿色时装设计暨模特大赛、高雅艺术进校园、寝室文化设计大赛等活动。构建“工作人员＋项目志愿者”的工作力量组成模式，优化工作项目志愿者招募、培训和激励机制，鼓励运用“第二课堂成绩单”认定评价项目志愿者。</w:t>
            </w:r>
          </w:p>
        </w:tc>
        <w:tc>
          <w:tcPr>
            <w:tcW w:w="30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培育校园文化品牌活动，申报立项活动。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128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1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2.5科技创新（10分）</w:t>
            </w:r>
          </w:p>
        </w:tc>
        <w:tc>
          <w:tcPr>
            <w:tcW w:w="62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积极组织学生参加大学生“挑战杯”“科技节”等课外学术科技作品竞赛。</w:t>
            </w:r>
          </w:p>
        </w:tc>
        <w:tc>
          <w:tcPr>
            <w:tcW w:w="30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活动参与度，材料上报情况。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128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2.6维护学生权益（10分）</w:t>
            </w:r>
          </w:p>
        </w:tc>
        <w:tc>
          <w:tcPr>
            <w:tcW w:w="62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切实为同学服务，在学生宿舍区等建设“学生会服务站(点)”。扎实开展“我为同学做实事”实践活动，有针对性地策划一批小而实”的服务项目，帮助同学解决急难愁盼问题。建立服务同学项目执行情况和同学满意度调研评估机制，根据评估结果对项目进行调整优化。</w:t>
            </w:r>
          </w:p>
        </w:tc>
        <w:tc>
          <w:tcPr>
            <w:tcW w:w="30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“办实事”推文新闻稿发布情况。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112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3.特色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工作和创新意识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（10分）</w:t>
            </w:r>
          </w:p>
        </w:tc>
        <w:tc>
          <w:tcPr>
            <w:tcW w:w="84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院级活动创新情况。结合学院专业学科特点和学生实际，发挥学生会组织作用，开展特色工作。</w:t>
            </w:r>
            <w:bookmarkStart w:id="0" w:name="_GoBack"/>
            <w:bookmarkEnd w:id="0"/>
          </w:p>
        </w:tc>
        <w:tc>
          <w:tcPr>
            <w:tcW w:w="30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创新活动的策划情况，活动资料的收集情况。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</w:tbl>
    <w:p>
      <w:pPr>
        <w:jc w:val="both"/>
        <w:rPr>
          <w:rFonts w:hint="eastAsia" w:ascii="宋体" w:hAnsi="宋体" w:eastAsia="宋体" w:cs="宋体"/>
          <w:sz w:val="24"/>
          <w:szCs w:val="24"/>
        </w:rPr>
      </w:pPr>
    </w:p>
    <w:sectPr>
      <w:pgSz w:w="16838" w:h="11906" w:orient="landscape"/>
      <w:pgMar w:top="1800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宋体"/>
    <w:panose1 w:val="020106010300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hNmE5ZDgxMzUyMzAwOTdjNTQ3ZDc5ODgxZGY3YjgifQ=="/>
  </w:docVars>
  <w:rsids>
    <w:rsidRoot w:val="00000000"/>
    <w:rsid w:val="084C38DA"/>
    <w:rsid w:val="10256DDF"/>
    <w:rsid w:val="113C26C1"/>
    <w:rsid w:val="125E4936"/>
    <w:rsid w:val="19A16C05"/>
    <w:rsid w:val="1D50131F"/>
    <w:rsid w:val="1EEE0DF0"/>
    <w:rsid w:val="25CB3C39"/>
    <w:rsid w:val="29714AF7"/>
    <w:rsid w:val="2C7819D4"/>
    <w:rsid w:val="30AC2D9E"/>
    <w:rsid w:val="3A8E6DDC"/>
    <w:rsid w:val="3B1B2B15"/>
    <w:rsid w:val="3CF8135F"/>
    <w:rsid w:val="3D3A652A"/>
    <w:rsid w:val="3F7124A6"/>
    <w:rsid w:val="430B6A33"/>
    <w:rsid w:val="4685178A"/>
    <w:rsid w:val="46C96D57"/>
    <w:rsid w:val="521E14DB"/>
    <w:rsid w:val="53A24D93"/>
    <w:rsid w:val="57EE55E9"/>
    <w:rsid w:val="5BD60666"/>
    <w:rsid w:val="5C1D0083"/>
    <w:rsid w:val="5C9127DF"/>
    <w:rsid w:val="61CA2A1B"/>
    <w:rsid w:val="657A6EF0"/>
    <w:rsid w:val="6F642612"/>
    <w:rsid w:val="6F944668"/>
    <w:rsid w:val="707E3ED5"/>
    <w:rsid w:val="73EA2AA9"/>
    <w:rsid w:val="750B0F29"/>
    <w:rsid w:val="78721448"/>
    <w:rsid w:val="7B127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